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May 30, 2016  9:00 PM  (Conference Call)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Attendees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Roshan Pradhan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Sanjay Shrestha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Krishna Pandit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Sachet Upadhya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Sanjita Shrestha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Ajay Bhattarai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Bikal Adhikari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Pujan Lama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Agenda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Preparation for Art Exhibition with Ajit Shah for raising fund for earthquake victims in Nepal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Discussion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Exhibition at Arthur’s house.  June 5 , Sunday 6:30 PM to 8:00 PM.  Wine served by Arthur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are expecting few peoples and friends from organizer side (Arthur)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Invite everyone from Nepalese Group. Put deadlines on RSVP. Feel free to invite your colleagues or other interested.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60% of sales amount goes to Painter.  40%  goes to INA. (INA will do the sale, receipts for Tax Purpose)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Sanjay Shrestha and Ajit Shah categorized in different prices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need to show where the amount was being used for future, We will send the amount to Dhurmus and Suntali, not planning to mix with our main Earthquake fund.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Snacks Volunteer. Food Tray. One item each, half tray. About 4 items. Salad Type, Chicken Chilli, Fruits basket etc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Russian Potato - Sanjay Shrestha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Mini Samosa -   Sanjita Pradhan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 xml:space="preserve">Follow Up in next two days for food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Pradip will provide the Thank you letter. Emails, Receipt on the day. Ask for Ajit or Arthur for template.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Planning to continue this event with Ajit Shah in future as well.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Expenses of initial cost upto $150 from INA, we will deduct that as our expenses.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Volunteers - Food, Wine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Prepared by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