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West Des Moines Public Library - 3/26/2016  6:30 PM to 08:00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Sarvendra Agrahari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Prajwal Gopali  (On Conference)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Ajay Bhattarai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Sanjita Shrestha (On Conference)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Bikal Adhikari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Upadhya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Tax Documents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Tax to be filed and Pradip is taking the initiative.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Asian Festival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Proof of Tax Returns needed for discount for Asian Festival - Pradip Sthapit to provide the documents.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Extra Tables at least 4. Chairs - 10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Check needed for Sarvendra and Pradip will work on that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 and Cultural Schedule for additional discount. - (Sarvendra Agrahari)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are participating on Friday in asian festival.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Spot Selection - Lottery system. Check the venue before hand for idea, Sarvendra Agrahari will give us info after map is decided.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Operations -  Setup and Teardown, volunteers for that. Cleaning too part of the operations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Food - Log sheet of who was the volunteer at what time.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Table Tennis Final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Financial Updates  and updates on Sponsors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Table Tennis - T-Shirt for players has been ordered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Food - Already managed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Thank you letter for the sponsors should be provided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Certificates and Medals arranged already by Pujan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New Year Festival / Blood Donation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Venue to be decided based on weather permitting. Indoor hall already booked. Prefered for indoors activity.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Blood Donation Email, Evite. - 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Food - Sanjay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Card and Bank Account - 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Biennial update with the updated list. - 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Earthquake Fund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Rather for a community than individual 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Contact Nepal earthquake rebuilding authority for the options.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b w:val="1"/>
          <w:rtl w:val="0"/>
        </w:rPr>
        <w:t xml:space="preserve">Prepared By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Madan Thapa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Reviewed \ Edited 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Adhikari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Table Tennis Final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