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1/17/2016  INA meeting (Urbandale Public Library)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Attendees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Sarvendra Agrahari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Aabristi Khadka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Roshan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Krishna Pandit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Biswas Bhattarai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Prem Gyawali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Sanjita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Bikal Adhikari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Sachet Upadhya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Ajay Bhattarai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Ghimire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Village Chair: Sachet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Co-Chair: ????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Treasurer: Pradeep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Food - Krishna &amp; Ajay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Tent - Anu / Sara (Advisor - Pradeep/Madan)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Cultural Activities (Pool) - Abristi/Poonam/Rachayita/Pradeep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Operation (Pool) - Sharvendra/Prajwol/Belayat/Prem/Bishwas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Action Items: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Need to decide for Friday Food Festival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Gift Tent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Feasibility check for Mithila Art Tent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Tentative Budget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Send invitation for cultural activities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Prepared By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Madan Thapa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Reviewed \ Edited 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